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EBD46" w14:textId="77777777" w:rsidR="00C743A6" w:rsidRPr="008543D0" w:rsidRDefault="00C743A6" w:rsidP="004F2918">
      <w:pPr>
        <w:spacing w:before="240" w:after="240" w:line="360" w:lineRule="atLeast"/>
        <w:jc w:val="both"/>
        <w:outlineLvl w:val="0"/>
        <w:rPr>
          <w:rFonts w:eastAsia="Times New Roman" w:cs="Times New Roman"/>
          <w:b/>
          <w:bCs/>
          <w:kern w:val="36"/>
          <w:sz w:val="36"/>
          <w:szCs w:val="36"/>
          <w:u w:val="single"/>
          <w:lang w:eastAsia="de-DE"/>
        </w:rPr>
      </w:pPr>
      <w:r w:rsidRPr="008543D0">
        <w:rPr>
          <w:rFonts w:eastAsia="Times New Roman" w:cs="Times New Roman"/>
          <w:b/>
          <w:bCs/>
          <w:kern w:val="36"/>
          <w:sz w:val="36"/>
          <w:szCs w:val="36"/>
          <w:u w:val="single"/>
          <w:lang w:eastAsia="de-DE"/>
        </w:rPr>
        <w:t>Prüfungen, Rücktritt, Wiederholung von Leistungskontrollen</w:t>
      </w:r>
    </w:p>
    <w:p w14:paraId="615FED63" w14:textId="77777777" w:rsidR="004F2918" w:rsidRDefault="00C743A6" w:rsidP="004F2918">
      <w:pPr>
        <w:spacing w:before="240" w:after="240" w:line="360" w:lineRule="atLeast"/>
        <w:jc w:val="both"/>
        <w:rPr>
          <w:sz w:val="24"/>
          <w:szCs w:val="24"/>
        </w:rPr>
      </w:pPr>
      <w:r w:rsidRPr="00BF0338">
        <w:rPr>
          <w:sz w:val="24"/>
          <w:szCs w:val="24"/>
        </w:rPr>
        <w:t>Wir möchten Sie auf neue Regelungen der i</w:t>
      </w:r>
      <w:r w:rsidR="004F2918">
        <w:rPr>
          <w:sz w:val="24"/>
          <w:szCs w:val="24"/>
        </w:rPr>
        <w:t>m</w:t>
      </w:r>
      <w:r w:rsidRPr="00BF0338">
        <w:rPr>
          <w:sz w:val="24"/>
          <w:szCs w:val="24"/>
        </w:rPr>
        <w:t xml:space="preserve"> </w:t>
      </w:r>
      <w:r w:rsidR="004F2918">
        <w:rPr>
          <w:sz w:val="24"/>
          <w:szCs w:val="24"/>
        </w:rPr>
        <w:t xml:space="preserve">Jahr </w:t>
      </w:r>
      <w:r w:rsidRPr="00BF0338">
        <w:rPr>
          <w:sz w:val="24"/>
          <w:szCs w:val="24"/>
        </w:rPr>
        <w:t xml:space="preserve">2013 </w:t>
      </w:r>
      <w:r w:rsidR="004F2918">
        <w:rPr>
          <w:sz w:val="24"/>
          <w:szCs w:val="24"/>
        </w:rPr>
        <w:t xml:space="preserve">beschlossenen </w:t>
      </w:r>
      <w:r w:rsidRPr="00BF0338">
        <w:rPr>
          <w:sz w:val="24"/>
          <w:szCs w:val="24"/>
        </w:rPr>
        <w:t>Rahmenstudien- und -prüfungsordnung (RSPO) hinweisen, die ab</w:t>
      </w:r>
      <w:r w:rsidR="00050F98">
        <w:rPr>
          <w:sz w:val="24"/>
          <w:szCs w:val="24"/>
        </w:rPr>
        <w:t xml:space="preserve"> dem</w:t>
      </w:r>
      <w:r w:rsidRPr="00BF0338">
        <w:rPr>
          <w:sz w:val="24"/>
          <w:szCs w:val="24"/>
        </w:rPr>
        <w:t xml:space="preserve"> 1. Oktober 2015 </w:t>
      </w:r>
      <w:r w:rsidR="00050F98">
        <w:rPr>
          <w:sz w:val="24"/>
          <w:szCs w:val="24"/>
        </w:rPr>
        <w:t>Anwendung finden (FU-Mitteilungen 32/2013)</w:t>
      </w:r>
      <w:r w:rsidR="004F2918">
        <w:rPr>
          <w:sz w:val="24"/>
          <w:szCs w:val="24"/>
        </w:rPr>
        <w:t>.</w:t>
      </w:r>
    </w:p>
    <w:p w14:paraId="3822E053" w14:textId="77777777" w:rsidR="006C3903" w:rsidRPr="00BF0338" w:rsidRDefault="00556D3E" w:rsidP="004F2918">
      <w:pPr>
        <w:spacing w:before="240" w:after="240" w:line="360" w:lineRule="atLeast"/>
        <w:jc w:val="both"/>
        <w:rPr>
          <w:sz w:val="24"/>
          <w:szCs w:val="24"/>
        </w:rPr>
      </w:pPr>
      <w:r w:rsidRPr="00BF0338">
        <w:rPr>
          <w:sz w:val="24"/>
          <w:szCs w:val="24"/>
        </w:rPr>
        <w:t>A</w:t>
      </w:r>
      <w:r w:rsidR="00C743A6" w:rsidRPr="00BF0338">
        <w:rPr>
          <w:sz w:val="24"/>
          <w:szCs w:val="24"/>
        </w:rPr>
        <w:t xml:space="preserve">uch verweisen wir auf </w:t>
      </w:r>
      <w:r w:rsidR="00050F98">
        <w:rPr>
          <w:sz w:val="24"/>
          <w:szCs w:val="24"/>
        </w:rPr>
        <w:t xml:space="preserve">eine Änderung der Studienordnung für den Studiengang Pharmazie, die ab dem </w:t>
      </w:r>
      <w:r w:rsidR="004F2918">
        <w:rPr>
          <w:sz w:val="24"/>
          <w:szCs w:val="24"/>
        </w:rPr>
        <w:t>1.4.</w:t>
      </w:r>
      <w:r w:rsidR="00C743A6" w:rsidRPr="00BF0338">
        <w:rPr>
          <w:sz w:val="24"/>
          <w:szCs w:val="24"/>
        </w:rPr>
        <w:t>2016</w:t>
      </w:r>
      <w:r w:rsidR="00050F98">
        <w:rPr>
          <w:sz w:val="24"/>
          <w:szCs w:val="24"/>
        </w:rPr>
        <w:t xml:space="preserve"> Anwendung findet (FU-Mitteilungen 16/2014)</w:t>
      </w:r>
      <w:r w:rsidR="00C743A6" w:rsidRPr="00BF0338">
        <w:rPr>
          <w:sz w:val="24"/>
          <w:szCs w:val="24"/>
        </w:rPr>
        <w:t>.</w:t>
      </w:r>
    </w:p>
    <w:p w14:paraId="2D0493E4" w14:textId="77777777" w:rsidR="004F2918" w:rsidRDefault="00C743A6" w:rsidP="004F2918">
      <w:pPr>
        <w:spacing w:before="240" w:after="240" w:line="360" w:lineRule="atLeast"/>
        <w:jc w:val="both"/>
        <w:rPr>
          <w:sz w:val="24"/>
          <w:szCs w:val="24"/>
        </w:rPr>
      </w:pPr>
      <w:r w:rsidRPr="00BF0338">
        <w:rPr>
          <w:sz w:val="24"/>
          <w:szCs w:val="24"/>
        </w:rPr>
        <w:t xml:space="preserve">Im Studiengang Pharmazie </w:t>
      </w:r>
      <w:r w:rsidR="00050F98">
        <w:rPr>
          <w:sz w:val="24"/>
          <w:szCs w:val="24"/>
        </w:rPr>
        <w:t>durf</w:t>
      </w:r>
      <w:r w:rsidR="00457E64">
        <w:rPr>
          <w:sz w:val="24"/>
          <w:szCs w:val="24"/>
        </w:rPr>
        <w:t>te eine nicht bestandene</w:t>
      </w:r>
      <w:r w:rsidR="00050F98" w:rsidRPr="00BF0338">
        <w:rPr>
          <w:sz w:val="24"/>
          <w:szCs w:val="24"/>
        </w:rPr>
        <w:t xml:space="preserve"> </w:t>
      </w:r>
      <w:r w:rsidRPr="00BF0338">
        <w:rPr>
          <w:sz w:val="24"/>
          <w:szCs w:val="24"/>
        </w:rPr>
        <w:t xml:space="preserve">Leistungskontrolle bei scheinpflichtigen Lehrveranstaltungen </w:t>
      </w:r>
      <w:r w:rsidR="00457E64">
        <w:rPr>
          <w:sz w:val="24"/>
          <w:szCs w:val="24"/>
        </w:rPr>
        <w:t xml:space="preserve">gemäß der Studienordnung aus dem Jahr 2003 (FU-Mitteilungen 6/2003) </w:t>
      </w:r>
      <w:r w:rsidRPr="00BF0338">
        <w:rPr>
          <w:sz w:val="24"/>
          <w:szCs w:val="24"/>
        </w:rPr>
        <w:t>insgesamt sechsmal</w:t>
      </w:r>
      <w:r w:rsidR="00457E64">
        <w:rPr>
          <w:sz w:val="24"/>
          <w:szCs w:val="24"/>
        </w:rPr>
        <w:t xml:space="preserve"> wiederholt werden. Ab dem </w:t>
      </w:r>
      <w:r w:rsidR="00457E64" w:rsidRPr="00457E64">
        <w:rPr>
          <w:b/>
          <w:sz w:val="24"/>
          <w:szCs w:val="24"/>
        </w:rPr>
        <w:t>1. Oktober 2015</w:t>
      </w:r>
      <w:r w:rsidR="00457E64">
        <w:rPr>
          <w:sz w:val="24"/>
          <w:szCs w:val="24"/>
        </w:rPr>
        <w:t xml:space="preserve"> dürfen Prüfungsleistungen gemäß § 20 Abs. 3 RSPO höchstens dreimal wiederholt werden, es sei denn</w:t>
      </w:r>
      <w:r w:rsidR="004F2918">
        <w:rPr>
          <w:sz w:val="24"/>
          <w:szCs w:val="24"/>
        </w:rPr>
        <w:t>,</w:t>
      </w:r>
      <w:r w:rsidR="00457E64">
        <w:rPr>
          <w:sz w:val="24"/>
          <w:szCs w:val="24"/>
        </w:rPr>
        <w:t xml:space="preserve"> die </w:t>
      </w:r>
      <w:r w:rsidR="004F2918">
        <w:rPr>
          <w:sz w:val="24"/>
          <w:szCs w:val="24"/>
        </w:rPr>
        <w:t xml:space="preserve">jeweils </w:t>
      </w:r>
      <w:r w:rsidR="00457E64">
        <w:rPr>
          <w:sz w:val="24"/>
          <w:szCs w:val="24"/>
        </w:rPr>
        <w:t>anwendbare Prüfungsordnung legt eine nur zweimalige Wiederhol</w:t>
      </w:r>
      <w:r w:rsidR="004A35BB">
        <w:rPr>
          <w:sz w:val="24"/>
          <w:szCs w:val="24"/>
        </w:rPr>
        <w:t>ungsmöglichkeit</w:t>
      </w:r>
      <w:r w:rsidR="00457E64">
        <w:rPr>
          <w:sz w:val="24"/>
          <w:szCs w:val="24"/>
        </w:rPr>
        <w:t xml:space="preserve"> fest.</w:t>
      </w:r>
      <w:r w:rsidRPr="00BF0338">
        <w:rPr>
          <w:sz w:val="24"/>
          <w:szCs w:val="24"/>
        </w:rPr>
        <w:t xml:space="preserve"> </w:t>
      </w:r>
      <w:r w:rsidR="00457E64">
        <w:rPr>
          <w:sz w:val="24"/>
          <w:szCs w:val="24"/>
        </w:rPr>
        <w:t xml:space="preserve">Die </w:t>
      </w:r>
      <w:r w:rsidR="004A35BB">
        <w:rPr>
          <w:sz w:val="24"/>
          <w:szCs w:val="24"/>
        </w:rPr>
        <w:t>letzte Ordnung zur Änderung der</w:t>
      </w:r>
      <w:r w:rsidR="00457E64">
        <w:rPr>
          <w:sz w:val="24"/>
          <w:szCs w:val="24"/>
        </w:rPr>
        <w:t xml:space="preserve"> Studienordnung für den Studiengang Pharmazie </w:t>
      </w:r>
      <w:r w:rsidR="004F2918">
        <w:rPr>
          <w:sz w:val="24"/>
          <w:szCs w:val="24"/>
        </w:rPr>
        <w:t>bestimmt</w:t>
      </w:r>
      <w:r w:rsidR="00457E64">
        <w:rPr>
          <w:sz w:val="24"/>
          <w:szCs w:val="24"/>
        </w:rPr>
        <w:t>, dass eine nich</w:t>
      </w:r>
      <w:r w:rsidR="004F2918">
        <w:rPr>
          <w:sz w:val="24"/>
          <w:szCs w:val="24"/>
        </w:rPr>
        <w:t>t bestandene Leistungskontrolle</w:t>
      </w:r>
      <w:r w:rsidR="00457E64">
        <w:rPr>
          <w:sz w:val="24"/>
          <w:szCs w:val="24"/>
        </w:rPr>
        <w:t xml:space="preserve"> </w:t>
      </w:r>
      <w:r w:rsidRPr="00BF0338">
        <w:rPr>
          <w:sz w:val="24"/>
          <w:szCs w:val="24"/>
        </w:rPr>
        <w:t>insgesamt dreimal wiederholt werden</w:t>
      </w:r>
      <w:r w:rsidR="00457E64">
        <w:rPr>
          <w:sz w:val="24"/>
          <w:szCs w:val="24"/>
        </w:rPr>
        <w:t xml:space="preserve"> kann</w:t>
      </w:r>
      <w:r w:rsidR="004F2918">
        <w:rPr>
          <w:sz w:val="24"/>
          <w:szCs w:val="24"/>
        </w:rPr>
        <w:t>.</w:t>
      </w:r>
    </w:p>
    <w:p w14:paraId="23AA4D19" w14:textId="77777777" w:rsidR="00C743A6" w:rsidRPr="00BF0338" w:rsidRDefault="00457E64" w:rsidP="004F2918">
      <w:pPr>
        <w:spacing w:before="240" w:after="240" w:line="360" w:lineRule="atLeast"/>
        <w:jc w:val="both"/>
        <w:rPr>
          <w:sz w:val="24"/>
          <w:szCs w:val="24"/>
        </w:rPr>
      </w:pPr>
      <w:r>
        <w:rPr>
          <w:rStyle w:val="Kommentarzeichen"/>
        </w:rPr>
        <w:commentReference w:id="0"/>
      </w:r>
      <w:r w:rsidR="00C743A6" w:rsidRPr="00BF0338">
        <w:rPr>
          <w:sz w:val="24"/>
          <w:szCs w:val="24"/>
        </w:rPr>
        <w:t xml:space="preserve">Wird der letztmögliche Wiederholungsversuch ohne Erfolg abgelegt, ist die </w:t>
      </w:r>
      <w:r w:rsidR="004F2918">
        <w:rPr>
          <w:sz w:val="24"/>
          <w:szCs w:val="24"/>
        </w:rPr>
        <w:t>betreffende</w:t>
      </w:r>
      <w:r w:rsidR="008975AD">
        <w:rPr>
          <w:sz w:val="24"/>
          <w:szCs w:val="24"/>
        </w:rPr>
        <w:t xml:space="preserve"> </w:t>
      </w:r>
      <w:r w:rsidR="00C743A6" w:rsidRPr="00BF0338">
        <w:rPr>
          <w:sz w:val="24"/>
          <w:szCs w:val="24"/>
        </w:rPr>
        <w:t>Prüfungsleistung endgültig nicht bestanden.</w:t>
      </w:r>
    </w:p>
    <w:p w14:paraId="575C858F" w14:textId="77777777" w:rsidR="00F0418C" w:rsidRPr="00BF0338" w:rsidRDefault="00F0418C" w:rsidP="004F2918">
      <w:pPr>
        <w:spacing w:before="240" w:after="240" w:line="360" w:lineRule="atLeast"/>
        <w:jc w:val="both"/>
        <w:rPr>
          <w:sz w:val="24"/>
          <w:szCs w:val="24"/>
        </w:rPr>
      </w:pPr>
      <w:r w:rsidRPr="00BF0338">
        <w:rPr>
          <w:sz w:val="24"/>
          <w:szCs w:val="24"/>
        </w:rPr>
        <w:t>Es ergeben sich folgende</w:t>
      </w:r>
      <w:r w:rsidR="008E0944">
        <w:rPr>
          <w:sz w:val="24"/>
          <w:szCs w:val="24"/>
        </w:rPr>
        <w:t xml:space="preserve"> Vorgaben</w:t>
      </w:r>
      <w:r w:rsidRPr="00BF0338">
        <w:rPr>
          <w:sz w:val="24"/>
          <w:szCs w:val="24"/>
        </w:rPr>
        <w:t>:</w:t>
      </w:r>
    </w:p>
    <w:p w14:paraId="137C91BF" w14:textId="77777777" w:rsidR="00C743A6" w:rsidRPr="00BF0338" w:rsidRDefault="00D2053C" w:rsidP="008975AD">
      <w:pPr>
        <w:pStyle w:val="Listenabsatz"/>
        <w:numPr>
          <w:ilvl w:val="0"/>
          <w:numId w:val="1"/>
        </w:numPr>
        <w:spacing w:line="360" w:lineRule="atLeast"/>
        <w:ind w:left="714" w:hanging="357"/>
        <w:jc w:val="both"/>
        <w:rPr>
          <w:sz w:val="24"/>
          <w:szCs w:val="24"/>
        </w:rPr>
      </w:pPr>
      <w:r w:rsidRPr="00BF0338">
        <w:rPr>
          <w:sz w:val="24"/>
          <w:szCs w:val="24"/>
        </w:rPr>
        <w:t>Für a</w:t>
      </w:r>
      <w:r w:rsidR="00C743A6" w:rsidRPr="00BF0338">
        <w:rPr>
          <w:sz w:val="24"/>
          <w:szCs w:val="24"/>
        </w:rPr>
        <w:t xml:space="preserve">lle Studierende, die </w:t>
      </w:r>
      <w:r w:rsidR="00984DF8">
        <w:rPr>
          <w:sz w:val="24"/>
          <w:szCs w:val="24"/>
        </w:rPr>
        <w:t xml:space="preserve">ab dem 1.10.2015 </w:t>
      </w:r>
      <w:r w:rsidR="00C743A6" w:rsidRPr="00BF0338">
        <w:rPr>
          <w:sz w:val="24"/>
          <w:szCs w:val="24"/>
        </w:rPr>
        <w:t xml:space="preserve">eine Leistungskontrolle </w:t>
      </w:r>
      <w:r w:rsidR="00984DF8">
        <w:rPr>
          <w:sz w:val="24"/>
          <w:szCs w:val="24"/>
        </w:rPr>
        <w:t xml:space="preserve">insgesamt </w:t>
      </w:r>
      <w:r w:rsidR="00C743A6" w:rsidRPr="00BF0338">
        <w:rPr>
          <w:sz w:val="24"/>
          <w:szCs w:val="24"/>
        </w:rPr>
        <w:t>viermal nicht bestanden haben</w:t>
      </w:r>
      <w:r w:rsidRPr="00BF0338">
        <w:rPr>
          <w:sz w:val="24"/>
          <w:szCs w:val="24"/>
        </w:rPr>
        <w:t xml:space="preserve">, ist diese </w:t>
      </w:r>
      <w:r w:rsidR="008E0944">
        <w:rPr>
          <w:sz w:val="24"/>
          <w:szCs w:val="24"/>
        </w:rPr>
        <w:t xml:space="preserve">Leistungskontrolle </w:t>
      </w:r>
      <w:r w:rsidRPr="00BF0338">
        <w:rPr>
          <w:sz w:val="24"/>
          <w:szCs w:val="24"/>
        </w:rPr>
        <w:t>endgültig nicht bestanden.</w:t>
      </w:r>
    </w:p>
    <w:p w14:paraId="2CF01B36" w14:textId="77777777" w:rsidR="00D2053C" w:rsidRPr="00BF0338" w:rsidRDefault="00D2053C" w:rsidP="008975AD">
      <w:pPr>
        <w:pStyle w:val="Listenabsatz"/>
        <w:numPr>
          <w:ilvl w:val="0"/>
          <w:numId w:val="1"/>
        </w:numPr>
        <w:spacing w:line="360" w:lineRule="atLeast"/>
        <w:jc w:val="both"/>
        <w:rPr>
          <w:sz w:val="24"/>
          <w:szCs w:val="24"/>
        </w:rPr>
      </w:pPr>
      <w:r w:rsidRPr="00BF0338">
        <w:rPr>
          <w:sz w:val="24"/>
          <w:szCs w:val="24"/>
        </w:rPr>
        <w:t>Der Rücktritt von einer Leistungskontrolle erfordert triftige Gründe:</w:t>
      </w:r>
    </w:p>
    <w:p w14:paraId="1250C3C2" w14:textId="77777777" w:rsidR="00D2053C" w:rsidRPr="00BF0338" w:rsidRDefault="00D2053C" w:rsidP="008975AD">
      <w:pPr>
        <w:spacing w:line="360" w:lineRule="atLeast"/>
        <w:ind w:left="709"/>
        <w:jc w:val="both"/>
        <w:rPr>
          <w:sz w:val="24"/>
          <w:szCs w:val="24"/>
        </w:rPr>
      </w:pPr>
      <w:r w:rsidRPr="00BF0338">
        <w:rPr>
          <w:sz w:val="24"/>
          <w:szCs w:val="24"/>
        </w:rPr>
        <w:t>Beispiele für einen triftigen Grund</w:t>
      </w:r>
      <w:r w:rsidR="00A6194A">
        <w:rPr>
          <w:sz w:val="24"/>
          <w:szCs w:val="24"/>
        </w:rPr>
        <w:t xml:space="preserve"> </w:t>
      </w:r>
      <w:r w:rsidR="004F2918">
        <w:rPr>
          <w:sz w:val="24"/>
          <w:szCs w:val="24"/>
        </w:rPr>
        <w:t>sind insbesondere</w:t>
      </w:r>
      <w:r w:rsidRPr="00BF0338">
        <w:rPr>
          <w:sz w:val="24"/>
          <w:szCs w:val="24"/>
        </w:rPr>
        <w:t>:</w:t>
      </w:r>
    </w:p>
    <w:p w14:paraId="3F72947C" w14:textId="77777777" w:rsidR="00D2053C" w:rsidRPr="00BF0338" w:rsidRDefault="004F2918" w:rsidP="008975AD">
      <w:pPr>
        <w:pStyle w:val="Listenabsatz"/>
        <w:numPr>
          <w:ilvl w:val="1"/>
          <w:numId w:val="5"/>
        </w:numPr>
        <w:spacing w:line="360" w:lineRule="atLeast"/>
        <w:jc w:val="both"/>
        <w:rPr>
          <w:sz w:val="24"/>
          <w:szCs w:val="24"/>
        </w:rPr>
      </w:pPr>
      <w:r>
        <w:rPr>
          <w:sz w:val="24"/>
          <w:szCs w:val="24"/>
        </w:rPr>
        <w:t xml:space="preserve">krankheitsbedingte </w:t>
      </w:r>
      <w:r w:rsidR="00D2053C" w:rsidRPr="00BF0338">
        <w:rPr>
          <w:sz w:val="24"/>
          <w:szCs w:val="24"/>
        </w:rPr>
        <w:t>Prüfungsunfähigkeit: Bei Krankheit der oder des Studierenden oder eines von ihr oder ihm allein zu betreuenden nahen Angehörigen ist ein</w:t>
      </w:r>
      <w:r w:rsidR="00D2053C" w:rsidRPr="00BF0338">
        <w:rPr>
          <w:b/>
          <w:sz w:val="24"/>
          <w:szCs w:val="24"/>
        </w:rPr>
        <w:t xml:space="preserve"> ärztliches Attest </w:t>
      </w:r>
      <w:r w:rsidR="008975AD">
        <w:rPr>
          <w:sz w:val="24"/>
          <w:szCs w:val="24"/>
        </w:rPr>
        <w:t>vorzulegen.</w:t>
      </w:r>
    </w:p>
    <w:p w14:paraId="29B73CEE" w14:textId="77777777" w:rsidR="00D2053C" w:rsidRPr="00BF0338" w:rsidRDefault="00D2053C" w:rsidP="008975AD">
      <w:pPr>
        <w:pStyle w:val="Listenabsatz"/>
        <w:numPr>
          <w:ilvl w:val="1"/>
          <w:numId w:val="5"/>
        </w:numPr>
        <w:spacing w:line="360" w:lineRule="atLeast"/>
        <w:jc w:val="both"/>
        <w:rPr>
          <w:sz w:val="24"/>
          <w:szCs w:val="24"/>
        </w:rPr>
      </w:pPr>
      <w:r w:rsidRPr="00BF0338">
        <w:rPr>
          <w:sz w:val="24"/>
          <w:szCs w:val="24"/>
        </w:rPr>
        <w:t>Äußere unzumutbare Einwirkungen während der Prüfung</w:t>
      </w:r>
    </w:p>
    <w:p w14:paraId="75A92ECE" w14:textId="77777777" w:rsidR="00D2053C" w:rsidRPr="00BF0338" w:rsidRDefault="00D2053C" w:rsidP="008975AD">
      <w:pPr>
        <w:pStyle w:val="Listenabsatz"/>
        <w:numPr>
          <w:ilvl w:val="1"/>
          <w:numId w:val="5"/>
        </w:numPr>
        <w:spacing w:line="360" w:lineRule="atLeast"/>
        <w:jc w:val="both"/>
        <w:rPr>
          <w:sz w:val="24"/>
          <w:szCs w:val="24"/>
        </w:rPr>
      </w:pPr>
      <w:r w:rsidRPr="00BF0338">
        <w:rPr>
          <w:sz w:val="24"/>
          <w:szCs w:val="24"/>
        </w:rPr>
        <w:t>Tod eines nahen Angehörigen.</w:t>
      </w:r>
    </w:p>
    <w:p w14:paraId="76758573" w14:textId="77777777" w:rsidR="00D2053C" w:rsidRDefault="008975AD" w:rsidP="004F2918">
      <w:pPr>
        <w:spacing w:before="240" w:after="240" w:line="360" w:lineRule="atLeast"/>
        <w:jc w:val="both"/>
        <w:rPr>
          <w:rFonts w:cs="Arial"/>
          <w:sz w:val="24"/>
          <w:szCs w:val="24"/>
        </w:rPr>
      </w:pPr>
      <w:r w:rsidRPr="008975AD">
        <w:rPr>
          <w:sz w:val="24"/>
          <w:szCs w:val="24"/>
        </w:rPr>
        <w:t xml:space="preserve">Der </w:t>
      </w:r>
      <w:r>
        <w:rPr>
          <w:sz w:val="24"/>
          <w:szCs w:val="24"/>
        </w:rPr>
        <w:t>triftige Grund ist dem Prü</w:t>
      </w:r>
      <w:r w:rsidRPr="008975AD">
        <w:rPr>
          <w:sz w:val="24"/>
          <w:szCs w:val="24"/>
        </w:rPr>
        <w:t>fungsausschuss unverzüglich schriftlich anzuz</w:t>
      </w:r>
      <w:r>
        <w:rPr>
          <w:sz w:val="24"/>
          <w:szCs w:val="24"/>
        </w:rPr>
        <w:t>eigen und glaubhaft zu machen, b</w:t>
      </w:r>
      <w:r w:rsidRPr="008975AD">
        <w:rPr>
          <w:sz w:val="24"/>
          <w:szCs w:val="24"/>
        </w:rPr>
        <w:t xml:space="preserve">ei Krankheit </w:t>
      </w:r>
      <w:r>
        <w:rPr>
          <w:sz w:val="24"/>
          <w:szCs w:val="24"/>
        </w:rPr>
        <w:t>durch Vorlage eines ärztlichen</w:t>
      </w:r>
      <w:r w:rsidRPr="008975AD">
        <w:rPr>
          <w:sz w:val="24"/>
          <w:szCs w:val="24"/>
        </w:rPr>
        <w:t xml:space="preserve"> Attest</w:t>
      </w:r>
      <w:r>
        <w:rPr>
          <w:sz w:val="24"/>
          <w:szCs w:val="24"/>
        </w:rPr>
        <w:t>es vor</w:t>
      </w:r>
      <w:r w:rsidRPr="008975AD">
        <w:rPr>
          <w:sz w:val="24"/>
          <w:szCs w:val="24"/>
        </w:rPr>
        <w:t>.</w:t>
      </w:r>
      <w:r>
        <w:rPr>
          <w:sz w:val="24"/>
          <w:szCs w:val="24"/>
        </w:rPr>
        <w:t xml:space="preserve"> </w:t>
      </w:r>
      <w:r w:rsidR="00FB62B6" w:rsidRPr="00BF0338">
        <w:rPr>
          <w:sz w:val="24"/>
          <w:szCs w:val="24"/>
        </w:rPr>
        <w:t>Ein ärztliches Attest ist eine Bescheinigung von einem Arzt, aus der hervorgeht, dass der oder die Studierende studier- und prüfungsunfähig ist</w:t>
      </w:r>
      <w:r w:rsidR="00BF0338" w:rsidRPr="00BF0338">
        <w:rPr>
          <w:rFonts w:cs="Arial"/>
          <w:sz w:val="24"/>
          <w:szCs w:val="24"/>
        </w:rPr>
        <w:t xml:space="preserve">. Hierzu reicht weder eine Arbeitsunfähigkeitsbescheinigung noch der schlichte Hinweis des Arztes, dass der Prüfling prüfungsunfähig sei. Vielmehr muss Inhalt des ärztlichen Attestes die Beschreibung der gesundheitlichen Beeinträchtigung und die Angabe der sich daraus ergebenden </w:t>
      </w:r>
      <w:r>
        <w:rPr>
          <w:rFonts w:cs="Arial"/>
          <w:sz w:val="24"/>
          <w:szCs w:val="24"/>
        </w:rPr>
        <w:t xml:space="preserve">Auswirkungen auf das Leistungsvermögen </w:t>
      </w:r>
      <w:r w:rsidR="00BF0338" w:rsidRPr="00BF0338">
        <w:rPr>
          <w:rFonts w:cs="Arial"/>
          <w:sz w:val="24"/>
          <w:szCs w:val="24"/>
        </w:rPr>
        <w:t xml:space="preserve">in der Prüfung </w:t>
      </w:r>
      <w:r w:rsidR="00BF0338">
        <w:rPr>
          <w:rFonts w:cs="Arial"/>
          <w:sz w:val="24"/>
          <w:szCs w:val="24"/>
        </w:rPr>
        <w:t>sein. Über die Prüfungsunfähigkeit entscheidet der Prüfungsausschuss.</w:t>
      </w:r>
      <w:r w:rsidR="009F7299">
        <w:rPr>
          <w:rFonts w:cs="Arial"/>
          <w:sz w:val="24"/>
          <w:szCs w:val="24"/>
        </w:rPr>
        <w:t xml:space="preserve"> Im Ablehnungsfall erhält der Studierende eine schriftliche Benachrichtigung.</w:t>
      </w:r>
    </w:p>
    <w:p w14:paraId="158D8D48" w14:textId="77777777" w:rsidR="008543D0" w:rsidRDefault="008543D0" w:rsidP="004F2918">
      <w:pPr>
        <w:spacing w:before="240" w:after="240" w:line="360" w:lineRule="atLeast"/>
        <w:jc w:val="both"/>
        <w:rPr>
          <w:sz w:val="24"/>
          <w:szCs w:val="24"/>
        </w:rPr>
      </w:pPr>
    </w:p>
    <w:p w14:paraId="7271CA69" w14:textId="77777777" w:rsidR="00556D3E" w:rsidRPr="00BF0338" w:rsidRDefault="00DD4F1E" w:rsidP="004F2918">
      <w:pPr>
        <w:spacing w:before="240" w:after="240" w:line="360" w:lineRule="atLeast"/>
        <w:jc w:val="both"/>
        <w:rPr>
          <w:sz w:val="24"/>
          <w:szCs w:val="24"/>
        </w:rPr>
      </w:pPr>
      <w:bookmarkStart w:id="1" w:name="_GoBack"/>
      <w:bookmarkEnd w:id="1"/>
      <w:r w:rsidRPr="00BF0338">
        <w:rPr>
          <w:sz w:val="24"/>
          <w:szCs w:val="24"/>
        </w:rPr>
        <w:lastRenderedPageBreak/>
        <w:t>Hier finden Sie</w:t>
      </w:r>
      <w:r w:rsidR="004A35BB" w:rsidRPr="004A35BB">
        <w:rPr>
          <w:rFonts w:ascii="Arial" w:hAnsi="Arial" w:cs="Arial"/>
          <w:b/>
          <w:bCs/>
          <w:color w:val="000000"/>
          <w:sz w:val="20"/>
          <w:szCs w:val="20"/>
        </w:rPr>
        <w:t xml:space="preserve"> </w:t>
      </w:r>
      <w:r w:rsidR="004A35BB" w:rsidRPr="004A35BB">
        <w:rPr>
          <w:rFonts w:ascii="Arial" w:hAnsi="Arial" w:cs="Arial"/>
          <w:bCs/>
          <w:color w:val="000000"/>
          <w:sz w:val="20"/>
          <w:szCs w:val="20"/>
        </w:rPr>
        <w:t xml:space="preserve">die </w:t>
      </w:r>
      <w:r w:rsidR="004A35BB" w:rsidRPr="004A35BB">
        <w:rPr>
          <w:bCs/>
          <w:sz w:val="24"/>
          <w:szCs w:val="24"/>
        </w:rPr>
        <w:t>zweite Ordnung zur Änderung der Studienordnung Pharmazie</w:t>
      </w:r>
      <w:r w:rsidR="004A35BB">
        <w:rPr>
          <w:bCs/>
          <w:sz w:val="24"/>
          <w:szCs w:val="24"/>
        </w:rPr>
        <w:t xml:space="preserve"> (</w:t>
      </w:r>
      <w:r w:rsidR="004A35BB" w:rsidRPr="004A35BB">
        <w:rPr>
          <w:bCs/>
          <w:sz w:val="24"/>
          <w:szCs w:val="24"/>
        </w:rPr>
        <w:t>FU-Mitteilungen 16/2014</w:t>
      </w:r>
      <w:r w:rsidR="004A35BB">
        <w:rPr>
          <w:bCs/>
          <w:sz w:val="24"/>
          <w:szCs w:val="24"/>
        </w:rPr>
        <w:t>)</w:t>
      </w:r>
      <w:r w:rsidRPr="00BF0338">
        <w:rPr>
          <w:sz w:val="24"/>
          <w:szCs w:val="24"/>
        </w:rPr>
        <w:t>:</w:t>
      </w:r>
    </w:p>
    <w:p w14:paraId="126F1462" w14:textId="77777777" w:rsidR="00F51310" w:rsidRDefault="00E01422" w:rsidP="004F2918">
      <w:pPr>
        <w:spacing w:before="240" w:after="240" w:line="360" w:lineRule="atLeast"/>
        <w:jc w:val="both"/>
        <w:rPr>
          <w:rFonts w:eastAsia="Times New Roman" w:cs="Times New Roman"/>
          <w:b/>
          <w:bCs/>
          <w:color w:val="0000FF"/>
          <w:sz w:val="24"/>
          <w:szCs w:val="24"/>
          <w:u w:val="single"/>
          <w:lang w:eastAsia="de-DE"/>
        </w:rPr>
      </w:pPr>
      <w:hyperlink r:id="rId7" w:history="1">
        <w:r w:rsidR="008543D0" w:rsidRPr="003C40DF">
          <w:rPr>
            <w:rStyle w:val="Link"/>
            <w:rFonts w:eastAsia="Times New Roman" w:cs="Times New Roman"/>
            <w:b/>
            <w:bCs/>
            <w:sz w:val="24"/>
            <w:szCs w:val="24"/>
            <w:lang w:eastAsia="de-DE"/>
          </w:rPr>
          <w:t>http://www.fu-berlin.de/service/zuvdocs/amtsblatt/2014/ab162014.pdf?1400851380</w:t>
        </w:r>
      </w:hyperlink>
    </w:p>
    <w:p w14:paraId="4A6DBF5B" w14:textId="77777777" w:rsidR="008543D0" w:rsidRDefault="008543D0" w:rsidP="004F2918">
      <w:pPr>
        <w:spacing w:before="240" w:after="240" w:line="360" w:lineRule="atLeast"/>
        <w:jc w:val="both"/>
        <w:rPr>
          <w:rFonts w:eastAsia="Times New Roman" w:cs="Times New Roman"/>
          <w:b/>
          <w:bCs/>
          <w:color w:val="0000FF"/>
          <w:sz w:val="24"/>
          <w:szCs w:val="24"/>
          <w:u w:val="single"/>
          <w:lang w:eastAsia="de-DE"/>
        </w:rPr>
      </w:pPr>
    </w:p>
    <w:p w14:paraId="6F52D209" w14:textId="77777777" w:rsidR="008543D0" w:rsidRDefault="008543D0" w:rsidP="004F2918">
      <w:pPr>
        <w:spacing w:before="240" w:after="240" w:line="360" w:lineRule="atLeast"/>
        <w:jc w:val="both"/>
        <w:rPr>
          <w:rFonts w:eastAsia="Times New Roman" w:cs="Times New Roman"/>
          <w:bCs/>
          <w:sz w:val="24"/>
          <w:szCs w:val="24"/>
          <w:lang w:eastAsia="de-DE"/>
        </w:rPr>
      </w:pPr>
    </w:p>
    <w:p w14:paraId="57508427" w14:textId="77777777" w:rsidR="008543D0" w:rsidRDefault="008543D0" w:rsidP="004F2918">
      <w:pPr>
        <w:spacing w:before="240" w:after="240" w:line="360" w:lineRule="atLeast"/>
        <w:jc w:val="both"/>
        <w:rPr>
          <w:rFonts w:eastAsia="Times New Roman" w:cs="Times New Roman"/>
          <w:bCs/>
          <w:sz w:val="24"/>
          <w:szCs w:val="24"/>
          <w:lang w:eastAsia="de-DE"/>
        </w:rPr>
      </w:pPr>
    </w:p>
    <w:p w14:paraId="46EAA0C3" w14:textId="77777777" w:rsidR="008543D0" w:rsidRPr="008543D0" w:rsidRDefault="008543D0" w:rsidP="004F2918">
      <w:pPr>
        <w:spacing w:before="240" w:after="240" w:line="360" w:lineRule="atLeast"/>
        <w:jc w:val="both"/>
        <w:rPr>
          <w:rFonts w:eastAsia="Times New Roman" w:cs="Times New Roman"/>
          <w:bCs/>
          <w:sz w:val="24"/>
          <w:szCs w:val="24"/>
          <w:lang w:eastAsia="de-DE"/>
        </w:rPr>
      </w:pPr>
    </w:p>
    <w:p w14:paraId="32263574" w14:textId="77777777" w:rsidR="008543D0" w:rsidRDefault="008543D0" w:rsidP="004F2918">
      <w:pPr>
        <w:spacing w:before="240" w:after="240" w:line="360" w:lineRule="atLeast"/>
        <w:jc w:val="both"/>
        <w:rPr>
          <w:rFonts w:eastAsia="Times New Roman" w:cs="Times New Roman"/>
          <w:bCs/>
          <w:sz w:val="24"/>
          <w:szCs w:val="24"/>
          <w:lang w:val="en-US" w:eastAsia="de-DE"/>
        </w:rPr>
      </w:pPr>
      <w:r w:rsidRPr="008543D0">
        <w:rPr>
          <w:rFonts w:eastAsia="Times New Roman" w:cs="Times New Roman"/>
          <w:bCs/>
          <w:sz w:val="24"/>
          <w:szCs w:val="24"/>
          <w:lang w:val="en-US" w:eastAsia="de-DE"/>
        </w:rPr>
        <w:t>Univ.-Prof. Dr. Matthias F. Melzig</w:t>
      </w:r>
    </w:p>
    <w:p w14:paraId="7EDD6A18" w14:textId="77777777" w:rsidR="008543D0" w:rsidRPr="008543D0" w:rsidRDefault="008543D0" w:rsidP="004F2918">
      <w:pPr>
        <w:spacing w:before="240" w:after="240" w:line="360" w:lineRule="atLeast"/>
        <w:jc w:val="both"/>
        <w:rPr>
          <w:rFonts w:eastAsia="Times New Roman" w:cs="Times New Roman"/>
          <w:bCs/>
          <w:sz w:val="24"/>
          <w:szCs w:val="24"/>
          <w:lang w:val="en-US" w:eastAsia="de-DE"/>
        </w:rPr>
      </w:pPr>
      <w:r>
        <w:rPr>
          <w:rFonts w:eastAsia="Times New Roman" w:cs="Times New Roman"/>
          <w:bCs/>
          <w:sz w:val="24"/>
          <w:szCs w:val="24"/>
          <w:lang w:val="en-US" w:eastAsia="de-DE"/>
        </w:rPr>
        <w:t xml:space="preserve">GD und </w:t>
      </w:r>
      <w:proofErr w:type="spellStart"/>
      <w:r>
        <w:rPr>
          <w:rFonts w:eastAsia="Times New Roman" w:cs="Times New Roman"/>
          <w:bCs/>
          <w:sz w:val="24"/>
          <w:szCs w:val="24"/>
          <w:lang w:val="en-US" w:eastAsia="de-DE"/>
        </w:rPr>
        <w:t>Vorsitzender</w:t>
      </w:r>
      <w:proofErr w:type="spellEnd"/>
      <w:r>
        <w:rPr>
          <w:rFonts w:eastAsia="Times New Roman" w:cs="Times New Roman"/>
          <w:bCs/>
          <w:sz w:val="24"/>
          <w:szCs w:val="24"/>
          <w:lang w:val="en-US" w:eastAsia="de-DE"/>
        </w:rPr>
        <w:t xml:space="preserve"> der </w:t>
      </w:r>
      <w:proofErr w:type="spellStart"/>
      <w:r>
        <w:rPr>
          <w:rFonts w:eastAsia="Times New Roman" w:cs="Times New Roman"/>
          <w:bCs/>
          <w:sz w:val="24"/>
          <w:szCs w:val="24"/>
          <w:lang w:val="en-US" w:eastAsia="de-DE"/>
        </w:rPr>
        <w:t>Prüfungskommission</w:t>
      </w:r>
      <w:proofErr w:type="spellEnd"/>
    </w:p>
    <w:p w14:paraId="0F3C1B73" w14:textId="77777777" w:rsidR="008543D0" w:rsidRPr="008543D0" w:rsidRDefault="008543D0" w:rsidP="004F2918">
      <w:pPr>
        <w:spacing w:before="240" w:after="240" w:line="360" w:lineRule="atLeast"/>
        <w:jc w:val="both"/>
        <w:rPr>
          <w:rFonts w:eastAsia="Times New Roman" w:cs="Times New Roman"/>
          <w:b/>
          <w:bCs/>
          <w:color w:val="0000FF"/>
          <w:sz w:val="24"/>
          <w:szCs w:val="24"/>
          <w:u w:val="single"/>
          <w:lang w:val="en-US" w:eastAsia="de-DE"/>
        </w:rPr>
      </w:pPr>
    </w:p>
    <w:sectPr w:rsidR="008543D0" w:rsidRPr="008543D0" w:rsidSect="008543D0">
      <w:pgSz w:w="11906" w:h="16838"/>
      <w:pgMar w:top="851" w:right="1134" w:bottom="851" w:left="1134" w:header="709" w:footer="709"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Großmann, Teresa" w:date="2015-12-10T11:18:00Z" w:initials="GT">
    <w:p w14:paraId="67B9C15B" w14:textId="77777777" w:rsidR="00457E64" w:rsidRDefault="00457E64">
      <w:pPr>
        <w:pStyle w:val="Kommentartext"/>
      </w:pPr>
      <w:r>
        <w:rPr>
          <w:rStyle w:val="Kommentarzeichen"/>
        </w:rPr>
        <w:annotationRef/>
      </w:r>
      <w:r w:rsidR="004F2918">
        <w:t xml:space="preserve">Gemäß </w:t>
      </w:r>
      <w:r w:rsidR="004F2918" w:rsidRPr="008C448C">
        <w:rPr>
          <w:b/>
        </w:rPr>
        <w:t>§ 24 Abs. 4 RSPO</w:t>
      </w:r>
      <w:r w:rsidR="004F2918" w:rsidRPr="004F2918">
        <w:t xml:space="preserve"> bleiben vor dem 1. Oktober 2015 abgelegte Prüfungsversuche bei der Berechnung der drei Wiederholungsversuche außer Betracht.</w:t>
      </w:r>
    </w:p>
    <w:p w14:paraId="5C3BB492" w14:textId="77777777" w:rsidR="008C448C" w:rsidRDefault="008C448C">
      <w:pPr>
        <w:pStyle w:val="Kommentartext"/>
      </w:pPr>
    </w:p>
    <w:p w14:paraId="798B302F" w14:textId="77777777" w:rsidR="008C448C" w:rsidRDefault="008C448C">
      <w:pPr>
        <w:pStyle w:val="Kommentartext"/>
      </w:pPr>
      <w:r>
        <w:t xml:space="preserve">Dies gilt gemäß </w:t>
      </w:r>
      <w:r w:rsidRPr="008C448C">
        <w:rPr>
          <w:b/>
        </w:rPr>
        <w:t xml:space="preserve">§ 1 Abs. 2 RSPO </w:t>
      </w:r>
      <w:r>
        <w:t>auch für Studiengänge, die mit dem Staatsexamen abschließen.</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8B302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F72986"/>
    <w:multiLevelType w:val="hybridMultilevel"/>
    <w:tmpl w:val="4BBA8596"/>
    <w:lvl w:ilvl="0" w:tplc="2E8E6E7E">
      <w:start w:val="1"/>
      <w:numFmt w:val="bullet"/>
      <w:lvlText w:val="•"/>
      <w:lvlJc w:val="left"/>
      <w:pPr>
        <w:ind w:left="1854" w:hanging="360"/>
      </w:pPr>
      <w:rPr>
        <w:rFonts w:ascii="Calibri" w:hAnsi="Calibri" w:hint="default"/>
        <w:sz w:val="2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6E12CBE"/>
    <w:multiLevelType w:val="hybridMultilevel"/>
    <w:tmpl w:val="58EEF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2BF0435"/>
    <w:multiLevelType w:val="hybridMultilevel"/>
    <w:tmpl w:val="6F36D2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816265B"/>
    <w:multiLevelType w:val="multilevel"/>
    <w:tmpl w:val="75A6E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D474F8"/>
    <w:multiLevelType w:val="hybridMultilevel"/>
    <w:tmpl w:val="286C098E"/>
    <w:lvl w:ilvl="0" w:tplc="2E8E6E7E">
      <w:start w:val="1"/>
      <w:numFmt w:val="bullet"/>
      <w:lvlText w:val="•"/>
      <w:lvlJc w:val="left"/>
      <w:pPr>
        <w:ind w:left="1854" w:hanging="360"/>
      </w:pPr>
      <w:rPr>
        <w:rFonts w:ascii="Calibri" w:hAnsi="Calibri" w:hint="default"/>
        <w:sz w:val="20"/>
      </w:rPr>
    </w:lvl>
    <w:lvl w:ilvl="1" w:tplc="2E8E6E7E">
      <w:start w:val="1"/>
      <w:numFmt w:val="bullet"/>
      <w:lvlText w:val="•"/>
      <w:lvlJc w:val="left"/>
      <w:pPr>
        <w:ind w:left="1440" w:hanging="360"/>
      </w:pPr>
      <w:rPr>
        <w:rFonts w:ascii="Calibri" w:hAnsi="Calibri" w:hint="default"/>
        <w:sz w:val="2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7096DA9"/>
    <w:multiLevelType w:val="hybridMultilevel"/>
    <w:tmpl w:val="55DE8508"/>
    <w:lvl w:ilvl="0" w:tplc="2E8E6E7E">
      <w:start w:val="1"/>
      <w:numFmt w:val="bullet"/>
      <w:lvlText w:val="•"/>
      <w:lvlJc w:val="left"/>
      <w:pPr>
        <w:ind w:left="1854" w:hanging="360"/>
      </w:pPr>
      <w:rPr>
        <w:rFonts w:ascii="Calibri" w:hAnsi="Calibri" w:hint="default"/>
        <w:sz w:val="20"/>
      </w:rPr>
    </w:lvl>
    <w:lvl w:ilvl="1" w:tplc="04070003">
      <w:start w:val="1"/>
      <w:numFmt w:val="bullet"/>
      <w:lvlText w:val="o"/>
      <w:lvlJc w:val="left"/>
      <w:pPr>
        <w:ind w:left="1440" w:hanging="360"/>
      </w:pPr>
      <w:rPr>
        <w:rFonts w:ascii="Courier New" w:hAnsi="Courier New" w:cs="Courier New" w:hint="default"/>
        <w:sz w:val="2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oßmann, Teresa">
    <w15:presenceInfo w15:providerId="AD" w15:userId="S-1-5-21-4253473865-3197154111-2873975343-1456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3A6"/>
    <w:rsid w:val="00050F98"/>
    <w:rsid w:val="003D7A62"/>
    <w:rsid w:val="004105E7"/>
    <w:rsid w:val="00457E64"/>
    <w:rsid w:val="004A35BB"/>
    <w:rsid w:val="004F2918"/>
    <w:rsid w:val="00556D3E"/>
    <w:rsid w:val="00583B3A"/>
    <w:rsid w:val="006C3903"/>
    <w:rsid w:val="007539AF"/>
    <w:rsid w:val="008543D0"/>
    <w:rsid w:val="008975AD"/>
    <w:rsid w:val="008C448C"/>
    <w:rsid w:val="008E0944"/>
    <w:rsid w:val="00984DF8"/>
    <w:rsid w:val="009F12E2"/>
    <w:rsid w:val="009F7299"/>
    <w:rsid w:val="00A6194A"/>
    <w:rsid w:val="00BF0338"/>
    <w:rsid w:val="00C743A6"/>
    <w:rsid w:val="00D14AC4"/>
    <w:rsid w:val="00D2053C"/>
    <w:rsid w:val="00DD4F1E"/>
    <w:rsid w:val="00E01422"/>
    <w:rsid w:val="00F0418C"/>
    <w:rsid w:val="00F51310"/>
    <w:rsid w:val="00FB62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BE0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743A6"/>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2053C"/>
    <w:pPr>
      <w:ind w:left="720"/>
      <w:contextualSpacing/>
    </w:pPr>
  </w:style>
  <w:style w:type="character" w:styleId="Link">
    <w:name w:val="Hyperlink"/>
    <w:basedOn w:val="Absatz-Standardschriftart"/>
    <w:uiPriority w:val="99"/>
    <w:unhideWhenUsed/>
    <w:rsid w:val="00556D3E"/>
    <w:rPr>
      <w:color w:val="0000FF" w:themeColor="hyperlink"/>
      <w:u w:val="single"/>
    </w:rPr>
  </w:style>
  <w:style w:type="character" w:styleId="BesuchterLink">
    <w:name w:val="FollowedHyperlink"/>
    <w:basedOn w:val="Absatz-Standardschriftart"/>
    <w:uiPriority w:val="99"/>
    <w:semiHidden/>
    <w:unhideWhenUsed/>
    <w:rsid w:val="00BF0338"/>
    <w:rPr>
      <w:color w:val="800080" w:themeColor="followedHyperlink"/>
      <w:u w:val="single"/>
    </w:rPr>
  </w:style>
  <w:style w:type="paragraph" w:styleId="Sprechblasentext">
    <w:name w:val="Balloon Text"/>
    <w:basedOn w:val="Standard"/>
    <w:link w:val="SprechblasentextZchn"/>
    <w:uiPriority w:val="99"/>
    <w:semiHidden/>
    <w:unhideWhenUsed/>
    <w:rsid w:val="00050F9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0F98"/>
    <w:rPr>
      <w:rFonts w:ascii="Segoe UI" w:hAnsi="Segoe UI" w:cs="Segoe UI"/>
      <w:sz w:val="18"/>
      <w:szCs w:val="18"/>
    </w:rPr>
  </w:style>
  <w:style w:type="character" w:styleId="Kommentarzeichen">
    <w:name w:val="annotation reference"/>
    <w:basedOn w:val="Absatz-Standardschriftart"/>
    <w:uiPriority w:val="99"/>
    <w:semiHidden/>
    <w:unhideWhenUsed/>
    <w:rsid w:val="00457E64"/>
    <w:rPr>
      <w:sz w:val="16"/>
      <w:szCs w:val="16"/>
    </w:rPr>
  </w:style>
  <w:style w:type="paragraph" w:styleId="Kommentartext">
    <w:name w:val="annotation text"/>
    <w:basedOn w:val="Standard"/>
    <w:link w:val="KommentartextZchn"/>
    <w:uiPriority w:val="99"/>
    <w:semiHidden/>
    <w:unhideWhenUsed/>
    <w:rsid w:val="00457E64"/>
    <w:rPr>
      <w:sz w:val="20"/>
      <w:szCs w:val="20"/>
    </w:rPr>
  </w:style>
  <w:style w:type="character" w:customStyle="1" w:styleId="KommentartextZchn">
    <w:name w:val="Kommentartext Zchn"/>
    <w:basedOn w:val="Absatz-Standardschriftart"/>
    <w:link w:val="Kommentartext"/>
    <w:uiPriority w:val="99"/>
    <w:semiHidden/>
    <w:rsid w:val="00457E64"/>
    <w:rPr>
      <w:sz w:val="20"/>
      <w:szCs w:val="20"/>
    </w:rPr>
  </w:style>
  <w:style w:type="paragraph" w:styleId="Kommentarthema">
    <w:name w:val="annotation subject"/>
    <w:basedOn w:val="Kommentartext"/>
    <w:next w:val="Kommentartext"/>
    <w:link w:val="KommentarthemaZchn"/>
    <w:uiPriority w:val="99"/>
    <w:semiHidden/>
    <w:unhideWhenUsed/>
    <w:rsid w:val="00457E64"/>
    <w:rPr>
      <w:b/>
      <w:bCs/>
    </w:rPr>
  </w:style>
  <w:style w:type="character" w:customStyle="1" w:styleId="KommentarthemaZchn">
    <w:name w:val="Kommentarthema Zchn"/>
    <w:basedOn w:val="KommentartextZchn"/>
    <w:link w:val="Kommentarthema"/>
    <w:uiPriority w:val="99"/>
    <w:semiHidden/>
    <w:rsid w:val="00457E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microsoft.com/office/2011/relationships/commentsExtended" Target="commentsExtended.xml"/><Relationship Id="rId7" Type="http://schemas.openxmlformats.org/officeDocument/2006/relationships/hyperlink" Target="http://www.fu-berlin.de/service/zuvdocs/amtsblatt/2014/ab162014.pdf?1400851380" TargetMode="External"/><Relationship Id="rId8" Type="http://schemas.openxmlformats.org/officeDocument/2006/relationships/fontTable" Target="fontTable.xml"/><Relationship Id="rId9" Type="http://schemas.microsoft.com/office/2011/relationships/people" Target="peop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2496</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Freie Universitaet Berlin</Company>
  <LinksUpToDate>false</LinksUpToDate>
  <CharactersWithSpaces>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Witte, Peter</dc:creator>
  <cp:lastModifiedBy>yiXNj2nZcH5FodxR</cp:lastModifiedBy>
  <cp:revision>3</cp:revision>
  <cp:lastPrinted>2016-01-04T09:26:00Z</cp:lastPrinted>
  <dcterms:created xsi:type="dcterms:W3CDTF">2016-01-14T11:37:00Z</dcterms:created>
  <dcterms:modified xsi:type="dcterms:W3CDTF">2016-01-14T17:25:00Z</dcterms:modified>
</cp:coreProperties>
</file>